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5E" w:rsidRPr="00CF4C5E" w:rsidRDefault="00CF4C5E" w:rsidP="00CF4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b/>
          <w:bCs/>
          <w:sz w:val="28"/>
          <w:szCs w:val="24"/>
        </w:rPr>
      </w:pPr>
      <w:r w:rsidRPr="00CF4C5E">
        <w:rPr>
          <w:rFonts w:ascii="Times New Roman" w:eastAsia="F2" w:hAnsi="Times New Roman" w:cs="Times New Roman"/>
          <w:b/>
          <w:bCs/>
          <w:sz w:val="28"/>
          <w:szCs w:val="24"/>
        </w:rPr>
        <w:t>Технические требования к упаковке и упаковочным материалам.</w:t>
      </w:r>
    </w:p>
    <w:p w:rsidR="00B961F0" w:rsidRDefault="00B961F0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</w:p>
    <w:p w:rsidR="00CF4C5E" w:rsidRDefault="00CF4C5E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</w:p>
    <w:p w:rsidR="00B961F0" w:rsidRDefault="00B961F0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B961F0">
        <w:rPr>
          <w:rFonts w:ascii="Times New Roman" w:eastAsia="F2" w:hAnsi="Times New Roman" w:cs="Times New Roman"/>
          <w:noProof/>
          <w:sz w:val="24"/>
          <w:szCs w:val="24"/>
        </w:rPr>
        <w:drawing>
          <wp:inline distT="0" distB="0" distL="0" distR="0">
            <wp:extent cx="2314575" cy="17145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61F0">
        <w:rPr>
          <w:rFonts w:ascii="Times New Roman" w:eastAsia="F2" w:hAnsi="Times New Roman" w:cs="Times New Roman"/>
          <w:noProof/>
          <w:sz w:val="24"/>
          <w:szCs w:val="24"/>
        </w:rPr>
        <w:drawing>
          <wp:inline distT="0" distB="0" distL="0" distR="0">
            <wp:extent cx="1704975" cy="1333500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61F0">
        <w:rPr>
          <w:rFonts w:ascii="Times New Roman" w:eastAsia="F2" w:hAnsi="Times New Roman" w:cs="Times New Roman"/>
          <w:noProof/>
          <w:sz w:val="24"/>
          <w:szCs w:val="24"/>
        </w:rPr>
        <w:drawing>
          <wp:inline distT="0" distB="0" distL="0" distR="0">
            <wp:extent cx="1362075" cy="1485900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F0" w:rsidRPr="00894724" w:rsidRDefault="00B961F0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Принципиально следует стремиться к разработке транспортных решений и к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стандартным грузонесущим приспособлениям, которые могут применяться для разнообразных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деталей и к открытию потенциала оптимизации логистики (определение величины шага,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 xml:space="preserve">пригодность для </w:t>
      </w:r>
      <w:proofErr w:type="spellStart"/>
      <w:r w:rsidRPr="00D43197">
        <w:rPr>
          <w:rFonts w:ascii="Times New Roman" w:eastAsia="F2" w:hAnsi="Times New Roman" w:cs="Times New Roman"/>
          <w:sz w:val="24"/>
          <w:szCs w:val="24"/>
        </w:rPr>
        <w:t>штабелирования</w:t>
      </w:r>
      <w:proofErr w:type="spellEnd"/>
      <w:r w:rsidRPr="00D43197">
        <w:rPr>
          <w:rFonts w:ascii="Times New Roman" w:eastAsia="F2" w:hAnsi="Times New Roman" w:cs="Times New Roman"/>
          <w:sz w:val="24"/>
          <w:szCs w:val="24"/>
        </w:rPr>
        <w:t>, сокращение объема, оптимальное использование складских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помещений и погрузочной емкости транспорта).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Требования к изготовлению грузонесущих приспособлений обязаны соблюдать как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поставщики упаковки (тары) так и поставщики деталей, являющиеся собственниками упаковки.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Все грузонесущие приспособления должны соответствовать общепринятым требованиям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к складированию и транспортировке, а также Правилам безопасности труда и здоровья при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выполнении работ с использованием грузонесущих приспособлений. Изготовление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грузонесущих приспособлений должно производиться таким образом, чтобы пользователи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были защищены от опасности любого рода при использовании по назначению и правильном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обращении. Расчеты грузонесущих приспособлений должны обеспечивать их экономичное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хранение и эффективное использование транспортных средств без ухудшения качества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транспортируемых грузов. Для каждой новой конструкции грузонесущих приспособлений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поставщик должен провести расчеты и испытания на допустимую статическую и динамическую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нагрузку. Временная нагрузка должна составлять как минимум в три раза больше общего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допустимого веса (</w:t>
      </w:r>
      <w:proofErr w:type="spellStart"/>
      <w:r w:rsidRPr="00D43197">
        <w:rPr>
          <w:rFonts w:ascii="Times New Roman" w:eastAsia="F2" w:hAnsi="Times New Roman" w:cs="Times New Roman"/>
          <w:sz w:val="24"/>
          <w:szCs w:val="24"/>
        </w:rPr>
        <w:t>тара+груз</w:t>
      </w:r>
      <w:proofErr w:type="spellEnd"/>
      <w:r w:rsidRPr="00D43197">
        <w:rPr>
          <w:rFonts w:ascii="Times New Roman" w:eastAsia="F2" w:hAnsi="Times New Roman" w:cs="Times New Roman"/>
          <w:sz w:val="24"/>
          <w:szCs w:val="24"/>
        </w:rPr>
        <w:t>). Должно быть проведено испытание на прочность и состояние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при складировании грузонесущих приспособлений, а также их пригодность к транспортировке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с точки зрения средств напольного погрузочно-разгрузочного транспорта и грузовиков.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На многооборотном грузонесущем приспособлении следует закрепить 2 держателя</w:t>
      </w:r>
    </w:p>
    <w:p w:rsidR="00894724" w:rsidRPr="00D43197" w:rsidRDefault="00C07CF7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Л</w:t>
      </w:r>
      <w:r w:rsidR="00894724" w:rsidRPr="00D43197">
        <w:rPr>
          <w:rFonts w:ascii="Times New Roman" w:eastAsia="F2" w:hAnsi="Times New Roman" w:cs="Times New Roman"/>
          <w:sz w:val="24"/>
          <w:szCs w:val="24"/>
        </w:rPr>
        <w:t>ейблов</w:t>
      </w:r>
      <w:r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="00894724" w:rsidRPr="00D43197">
        <w:rPr>
          <w:rFonts w:ascii="Times New Roman" w:eastAsia="F2" w:hAnsi="Times New Roman" w:cs="Times New Roman"/>
          <w:sz w:val="24"/>
          <w:szCs w:val="24"/>
        </w:rPr>
        <w:t xml:space="preserve">с фронтальной и продольной стороны справа, </w:t>
      </w:r>
      <w:proofErr w:type="gramStart"/>
      <w:r w:rsidR="00894724" w:rsidRPr="00D43197">
        <w:rPr>
          <w:rFonts w:ascii="Times New Roman" w:eastAsia="F2" w:hAnsi="Times New Roman" w:cs="Times New Roman"/>
          <w:sz w:val="24"/>
          <w:szCs w:val="24"/>
        </w:rPr>
        <w:t>с</w:t>
      </w:r>
      <w:proofErr w:type="gramEnd"/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 xml:space="preserve">хорошим обзором. Фиксация лейбла может быть </w:t>
      </w:r>
      <w:proofErr w:type="gramStart"/>
      <w:r w:rsidRPr="00D43197">
        <w:rPr>
          <w:rFonts w:ascii="Times New Roman" w:eastAsia="F2" w:hAnsi="Times New Roman" w:cs="Times New Roman"/>
          <w:sz w:val="24"/>
          <w:szCs w:val="24"/>
        </w:rPr>
        <w:t>обеспечены</w:t>
      </w:r>
      <w:proofErr w:type="gramEnd"/>
      <w:r w:rsidRPr="00D43197">
        <w:rPr>
          <w:rFonts w:ascii="Times New Roman" w:eastAsia="F2" w:hAnsi="Times New Roman" w:cs="Times New Roman"/>
          <w:sz w:val="24"/>
          <w:szCs w:val="24"/>
        </w:rPr>
        <w:t xml:space="preserve"> клеммой, прозрачный</w:t>
      </w:r>
    </w:p>
    <w:p w:rsidR="00894724" w:rsidRPr="00D43197" w:rsidRDefault="00894724" w:rsidP="00C07CF7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полиэтиленовый карман и т.д. Клеммы следует прикрепить на заклепках на металлическом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листе. Металлический лист закрепляется на грузонесущем приспособлении. Держатели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карточек следует расположить так, чтобы их нельзя было повредить при манипулировании,</w:t>
      </w:r>
      <w:r w:rsidR="00C07CF7" w:rsidRPr="00D43197">
        <w:rPr>
          <w:rFonts w:ascii="Times New Roman" w:eastAsia="F2" w:hAnsi="Times New Roman" w:cs="Times New Roman"/>
          <w:sz w:val="24"/>
          <w:szCs w:val="24"/>
        </w:rPr>
        <w:t xml:space="preserve"> </w:t>
      </w:r>
      <w:proofErr w:type="spellStart"/>
      <w:r w:rsidRPr="00D43197">
        <w:rPr>
          <w:rFonts w:ascii="Times New Roman" w:eastAsia="F2" w:hAnsi="Times New Roman" w:cs="Times New Roman"/>
          <w:sz w:val="24"/>
          <w:szCs w:val="24"/>
        </w:rPr>
        <w:t>штабелировании</w:t>
      </w:r>
      <w:proofErr w:type="spellEnd"/>
      <w:r w:rsidRPr="00D43197">
        <w:rPr>
          <w:rFonts w:ascii="Times New Roman" w:eastAsia="F2" w:hAnsi="Times New Roman" w:cs="Times New Roman"/>
          <w:sz w:val="24"/>
          <w:szCs w:val="24"/>
        </w:rPr>
        <w:t xml:space="preserve">, установке в ряд, перевозке на грузовике. 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При разработке конструкции следует стремиться к выполнению следующих требований: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 xml:space="preserve">все движущиеся части должны иметь предохранение от </w:t>
      </w:r>
      <w:proofErr w:type="gramStart"/>
      <w:r w:rsidRPr="00D43197">
        <w:rPr>
          <w:rFonts w:ascii="Times New Roman" w:eastAsia="F2" w:hAnsi="Times New Roman" w:cs="Times New Roman"/>
          <w:sz w:val="24"/>
          <w:szCs w:val="24"/>
        </w:rPr>
        <w:t>самопроизвольного</w:t>
      </w:r>
      <w:proofErr w:type="gramEnd"/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отвинчивания;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боковые винты должны быть утоплены;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следует избегать разбалтывания деталей;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с целью экономии транспортных затрат следует стремиться к откидыванию или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>утоплению угловых стоек, начиная с высоты 600 мм, при этом и в сложенном виде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F2" w:hAnsi="Times New Roman" w:cs="Times New Roman"/>
          <w:sz w:val="24"/>
          <w:szCs w:val="24"/>
        </w:rPr>
        <w:t xml:space="preserve">грузонесущее приспособление должно быть пригодно для </w:t>
      </w:r>
      <w:proofErr w:type="spellStart"/>
      <w:r w:rsidRPr="00D43197">
        <w:rPr>
          <w:rFonts w:ascii="Times New Roman" w:eastAsia="F2" w:hAnsi="Times New Roman" w:cs="Times New Roman"/>
          <w:sz w:val="24"/>
          <w:szCs w:val="24"/>
        </w:rPr>
        <w:t>штабелирования</w:t>
      </w:r>
      <w:proofErr w:type="spellEnd"/>
      <w:r w:rsidRPr="00D43197">
        <w:rPr>
          <w:rFonts w:ascii="Times New Roman" w:eastAsia="F2" w:hAnsi="Times New Roman" w:cs="Times New Roman"/>
          <w:sz w:val="24"/>
          <w:szCs w:val="24"/>
        </w:rPr>
        <w:t>;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lastRenderedPageBreak/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>следует использовать стандартные профили, материалы и узлы;</w:t>
      </w:r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D43197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D43197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D43197">
        <w:rPr>
          <w:rFonts w:ascii="Times New Roman" w:eastAsia="F2" w:hAnsi="Times New Roman" w:cs="Times New Roman"/>
          <w:sz w:val="24"/>
          <w:szCs w:val="24"/>
        </w:rPr>
        <w:t xml:space="preserve">«вулканизация» предпочтительнее наклеивания синтетических материалов </w:t>
      </w:r>
      <w:proofErr w:type="gramStart"/>
      <w:r w:rsidRPr="00D43197">
        <w:rPr>
          <w:rFonts w:ascii="Times New Roman" w:eastAsia="F2" w:hAnsi="Times New Roman" w:cs="Times New Roman"/>
          <w:sz w:val="24"/>
          <w:szCs w:val="24"/>
        </w:rPr>
        <w:t>на</w:t>
      </w:r>
      <w:proofErr w:type="gramEnd"/>
    </w:p>
    <w:p w:rsidR="00894724" w:rsidRPr="00D43197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D43197">
        <w:rPr>
          <w:rFonts w:ascii="Times New Roman" w:eastAsia="F2" w:hAnsi="Times New Roman" w:cs="Times New Roman"/>
          <w:sz w:val="24"/>
          <w:szCs w:val="24"/>
        </w:rPr>
        <w:t>основаниях</w:t>
      </w:r>
      <w:proofErr w:type="gramEnd"/>
      <w:r w:rsidRPr="00D43197">
        <w:rPr>
          <w:rFonts w:ascii="Times New Roman" w:eastAsia="F2" w:hAnsi="Times New Roman" w:cs="Times New Roman"/>
          <w:sz w:val="24"/>
          <w:szCs w:val="24"/>
        </w:rPr>
        <w:t xml:space="preserve"> грузонесущих приспособлений;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толщина стенок несущих профилей не менее 2,9 мм;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в целях защиты от коррозии разрешается использование только заклепок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из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высококачественной стали и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стальных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оцинкованных «сталь в стали»;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зубчатые рейки на концах должны быть с геометрическим замыканием (при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необходимости со стальным стержнем на концах);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конструктивное исполнение должно быть таким, чтобы вода и грязь по возможности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не могли накапливаться, вода могла стекать, и емкости можно было без проблем чистить.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Изделия из синтетических материалов следует рассчитывать таким образом, чтобы не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происходило существенных явлений износа с последствиями для качества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хранимых/транспортируемых деталей за все время проекта. Рекомендуется применение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следующих синтетических материалов: ABS, PC, PE, PP, PU, PVC.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Следует учитывать следующие требования к синтетическим материалам: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сохранять свою форму;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быть утилизирован способом, безопасным для окружающей среды;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быть достаточно прочным к порезам (при использовании деталей из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листового металла);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быть устойчивым к воздействию антикоррозийных масел;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быть устойчивым к воздействию растворителей;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не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должен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впоследствии еще более затвердевать или становиться хрупким;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 должен давать трещины или отслаиваться;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 должен быть гигроскопичным;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должен быть устойчивым к ультрафиолетовым лучам;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 должен соединяться с грузом или прилипать к нему;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требуемые свойства (скольжение, коэффициент трения) должны сохраняться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на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протяжении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всего срока (около 10 лет);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 должен содержать силикон и вещества, нарушающие лаковое покрытие.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Пленка для упаковки не должна терять свою форму и прочность при колебаниях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температуры от -25°C до 80°C и не должна трескаться. При обмотке стальных деталей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синтетическое покрытие должно прочно держаться снизу, быть прочным на порез и не рваться,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и иметь гладкую поверхность (без ряби). Вставки из синтетических материалов - это, например,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зубчатые рейки, зажимы, колпачки и стопорные устройства, должны иметь такие параметры,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чтобы на весь срок действия (около 10 лет) они не имели существенного износа. Для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транспортировки лакированных деталей или деталей, предназначенных для лакировки, не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следует применять синтетические материалы, содержащие пластификаторы.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Грузонесущие приспособления из пены EPP, облегченных панелей (LP) или панелей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с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полыми камерами (HKP) должны изготавливаться производителем по чертежу. Все элементы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конструкции из данных материалов должны быть пригодными для их назначения и сочетаться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друг с другом.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LP и HKP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должны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>, в дополнение к общим требованиям к синтетическим материалам,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иметь следующие свойства: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водонепроницаемость;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устойчивость к воздействию химикатов;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гнилоустойчивость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>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отсутствие опасений с точки зрения физиологии;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легкость;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способность сгибаться: возможность движения до 1000 раз;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пригодность к печати: трафаретная печать или печать с упругих форм;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способность деформироваться: термическим способом 2 или 3 раза в отношении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lastRenderedPageBreak/>
        <w:t>размера, посредством глубокой вытяжки, кантовки или штамповки;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стабильность: устойчивость к ударам, прочность при изгибе и продавливании,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в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зависимости от геометрии также устойчивость к деформации при сжатии;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пригодность для приваривания: высокой частотой, ультразвуком, тепловым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импульсом, горячим воздухом, трением;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гладкость: отсутствие шероховатых поверхностей, если иное не указано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в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спецификации;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 трудом воспламеняется;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894724">
        <w:rPr>
          <w:rFonts w:ascii="Times New Roman" w:eastAsia="F5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антистатик.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Марки стали следует выбирать по чертежу. Исходный материал должен как минимум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обладать качеством, отвечающим нормам RST37-2 по DIN 17100 или S235 JRG по DIN EN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10025. Для полос и длинных изделий, а также для полуфабрикатов из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обычной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конструкционной стали, должны соблюдаться нормы DIN EN 10025, стальные трубы (круглые)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из обычной конструкционной стали должны отвечать требованиям DIN 2458 (сварные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стальныетрубы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>). Для полых профилей (квадратные, прямоугольные) из обычной конструкционной стали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следует использовать холоднотянутые, сварные профили по DIN 59411 или DIN EN 10219. Для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нержавеющей стали должны соблюдаться DIN 17440 (листовая сталь, прутковая сталь, полосы),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а также DIN EN 10283 и DIN EN 10213-1 (оба в отношении стального литья).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В резьбовых соединениях гайки должны быть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самостопорящимися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>, при этом минимум 2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шага резьбы должны быть видны. Следует соблюдать моменты затяжки. Для материалов,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подвергающихся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ржавлению, не следует применять самонарезающие винты. На подвижных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частях для защиты резьбы следует поставить распорную втулку, которая на 1-2 мм будет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соответственно выдаваться поверх подвижного профиля. Распорные втулки могут быть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запрессованными или приваренными. Подвижные части следует дополнительно обеспечить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подкладными шайбами на поверхностях соприкосновения. Резьбовые соединения не следует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покрывать краской.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Все применяемые клеевые соединения должны быть заданы конструктивно, и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при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температуре от -20°C до + 80°C не должны терять ни формы, ни прочности, а также не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трескаться. Не разрешается использовать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силиконосодержащие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клеи.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Не допускается применение смазочных материалов - например, масла, жиры и пасты -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на основе силикона.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Антикоррозийная защита должна быть выполнена безупречно, т.е. без образования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ряби,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свиля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>, капель и корочек. В лаке не должно содержаться свинца и хлора. Встраиваемые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детали с защищенной поверхностью (пружинные затворы, винты, гайки и т.п.) не следует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покрывать краской. При доработках лакированные грузонесущие приспособления и детали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из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нержавеющей стали следует очищать от шлифовальной пыли или накрывать.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В грузонесущих приспособлениях,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которая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используется для транспортировки деталей с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чувствительной поверхностью для установки в автомобиле в таких местах, где они будут на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виду, рекомендуется горячее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цинкование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(толщина цинкового покрытия 70-80 μm). Если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горячее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цинкование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предусматривается, то поставщик – если у него нет опыта в этой сфере –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должен согласовать конструктивные требования в отношении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цинкования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еще на фазе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проектирования упаковки с предприятием, занимающимся оцинковкой.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Грузонесущие приспособления должны быть сконструированы таким образом, чтобы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в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них не накапливалась вода или грязь. Во всех полых профилях и профилях, открытых наружу,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должны быть предусмотрены отверстия для стока воды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ø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10 мм или краевая вырубка. Если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связующий элемент открыт или расположен горизонтально, то по возможности с обеих сторон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следует предусмотреть стоки. Сточная вода не должна загрязнять узлы и не влиять на качество</w:t>
      </w:r>
      <w:r w:rsidR="00C07CF7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деталей (брызги воды). Особенно следить за этим в отношении пластмассовых деталей.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lastRenderedPageBreak/>
        <w:t>Отверстия для слива обязательно должны находиться в самых низких точках.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Все окрашиваемые поверхности грузонесущих приспособлений должны быть очищены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от силикона, следов коррозии, капель от сварки, масла, жира, грязи и т.п., до того, как их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покроют лакокрасочными материалами. Минимальная толщина слоя покрытия везде 60 μm. На</w:t>
      </w:r>
      <w:r w:rsidR="0039229E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опытных образцах может отсутствовать окрашивание.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Вместе с предложением для серийной поставки следует подавать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коммерческое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предложение с дифференциацией на запасные части (подвижные части и пр.). Снабжение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запасными частями должно быть гарантировано на все время действия проекта, от старта (SOP)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 прекращения производства.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В отношении покупных деталей поставщик грузонесущих приспособлений является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ответственным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за качество деталей и своевременность поставок. Сбои, вызванные установкой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бракованных деталей, или сбои по причине грузонесущих приспособлений, выставляются в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счет поставщика упаковки. То же касается скрытых дефектов.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Пружинные затворы должны быть приспособлены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к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неблагоприятным погодным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условиям, должна быть обеспечена на долгое время легкость обращения. Они должны быть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оцинкованными. При приваривании следует следить за тем, чтобы не сгорала смазка внутри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пружинного затвора.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Болты, система тяг и рычагов, и все резьбовые соединения принципиально должны быть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из нержавеющей стали.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Если стопоры имеют покрытие из пластмассы, то соединение должно быть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с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геометрическим замыканием. Листовой металл для всех направляющих и упорных деталей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нержавеющая сталь, толщиной минимум 3 мм. В отношении вышеуказанных пунктов следует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учитывать, что контейнеры хранятся также и на улице. Изготовление стопорных устройств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должно проходить в условиях наличия работающей системы менеджмента качества.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На каждое грузонесущее приспособление GLT и SLT крепится по две типовые таблички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из легкого металла (на расстоянии около 10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0 мм от угла). На закрывающемся </w:t>
      </w:r>
      <w:r w:rsidRPr="00894724">
        <w:rPr>
          <w:rFonts w:ascii="Times New Roman" w:eastAsia="F2" w:hAnsi="Times New Roman" w:cs="Times New Roman"/>
          <w:sz w:val="24"/>
          <w:szCs w:val="24"/>
        </w:rPr>
        <w:t>грузонесущем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>приспособлении типовая табличка должна быть читабельной и в закрытом состоянии.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Также на GLT и SLT следует проставить хорошо читаемую маркировку для персонала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с</w:t>
      </w:r>
      <w:proofErr w:type="gramEnd"/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информацией о номере грузонесущего приспособления и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штабелировании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>. Цвет надписи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должен ярко контрастировать с цветом грузонесущего приспособления.</w:t>
      </w:r>
    </w:p>
    <w:p w:rsidR="00894724" w:rsidRP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 xml:space="preserve">Несерийные грузонесущие приспособления для отличия от </w:t>
      </w:r>
      <w:proofErr w:type="gramStart"/>
      <w:r w:rsidRPr="00894724">
        <w:rPr>
          <w:rFonts w:ascii="Times New Roman" w:eastAsia="F2" w:hAnsi="Times New Roman" w:cs="Times New Roman"/>
          <w:sz w:val="24"/>
          <w:szCs w:val="24"/>
        </w:rPr>
        <w:t>серийных</w:t>
      </w:r>
      <w:proofErr w:type="gram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грузонесущих</w:t>
      </w:r>
    </w:p>
    <w:p w:rsidR="00894724" w:rsidRDefault="00894724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  <w:r w:rsidRPr="00894724">
        <w:rPr>
          <w:rFonts w:ascii="Times New Roman" w:eastAsia="F2" w:hAnsi="Times New Roman" w:cs="Times New Roman"/>
          <w:sz w:val="24"/>
          <w:szCs w:val="24"/>
        </w:rPr>
        <w:t>приспособлений должны быть снабжены бросающейся в глаза наклейкой, отражающей статус</w:t>
      </w:r>
      <w:r w:rsidR="00B961F0">
        <w:rPr>
          <w:rFonts w:ascii="Times New Roman" w:eastAsia="F2" w:hAnsi="Times New Roman" w:cs="Times New Roman"/>
          <w:sz w:val="24"/>
          <w:szCs w:val="24"/>
        </w:rPr>
        <w:t xml:space="preserve"> </w:t>
      </w:r>
      <w:r w:rsidRPr="00894724">
        <w:rPr>
          <w:rFonts w:ascii="Times New Roman" w:eastAsia="F2" w:hAnsi="Times New Roman" w:cs="Times New Roman"/>
          <w:sz w:val="24"/>
          <w:szCs w:val="24"/>
        </w:rPr>
        <w:t xml:space="preserve">(например, опытные образцы, образцы контейнеров, </w:t>
      </w:r>
      <w:proofErr w:type="spellStart"/>
      <w:r w:rsidRPr="00894724">
        <w:rPr>
          <w:rFonts w:ascii="Times New Roman" w:eastAsia="F2" w:hAnsi="Times New Roman" w:cs="Times New Roman"/>
          <w:sz w:val="24"/>
          <w:szCs w:val="24"/>
        </w:rPr>
        <w:t>предсерийные</w:t>
      </w:r>
      <w:proofErr w:type="spellEnd"/>
      <w:r w:rsidRPr="00894724">
        <w:rPr>
          <w:rFonts w:ascii="Times New Roman" w:eastAsia="F2" w:hAnsi="Times New Roman" w:cs="Times New Roman"/>
          <w:sz w:val="24"/>
          <w:szCs w:val="24"/>
        </w:rPr>
        <w:t xml:space="preserve"> контейнеры и т.д.).</w:t>
      </w:r>
    </w:p>
    <w:p w:rsidR="00B961F0" w:rsidRDefault="00B961F0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</w:p>
    <w:p w:rsidR="00B961F0" w:rsidRPr="00894724" w:rsidRDefault="00B961F0" w:rsidP="00894724">
      <w:pPr>
        <w:autoSpaceDE w:val="0"/>
        <w:autoSpaceDN w:val="0"/>
        <w:adjustRightInd w:val="0"/>
        <w:spacing w:after="0" w:line="240" w:lineRule="auto"/>
        <w:rPr>
          <w:rFonts w:ascii="Times New Roman" w:eastAsia="F2" w:hAnsi="Times New Roman" w:cs="Times New Roman"/>
          <w:sz w:val="24"/>
          <w:szCs w:val="24"/>
        </w:rPr>
      </w:pPr>
    </w:p>
    <w:p w:rsidR="00894724" w:rsidRDefault="00894724" w:rsidP="00894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" cy="66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724" w:rsidRPr="00894724" w:rsidRDefault="00894724" w:rsidP="00894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" cy="666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724" w:rsidRPr="00894724" w:rsidSect="00A4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724"/>
    <w:rsid w:val="000B0CC1"/>
    <w:rsid w:val="0039229E"/>
    <w:rsid w:val="003B1567"/>
    <w:rsid w:val="00894724"/>
    <w:rsid w:val="00A40B28"/>
    <w:rsid w:val="00A713F0"/>
    <w:rsid w:val="00B961F0"/>
    <w:rsid w:val="00C07CF7"/>
    <w:rsid w:val="00CF4C5E"/>
    <w:rsid w:val="00D40FE1"/>
    <w:rsid w:val="00D4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2026-04-07T11:19:00Z</dcterms:created>
  <dcterms:modified xsi:type="dcterms:W3CDTF">2026-04-08T09:10:00Z</dcterms:modified>
</cp:coreProperties>
</file>